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43" w:rsidRDefault="00424369">
      <w:pPr>
        <w:pStyle w:val="a7"/>
      </w:pPr>
      <w:r>
        <w:rPr>
          <w:noProof/>
        </w:rPr>
        <w:drawing>
          <wp:inline distT="0" distB="0" distL="0" distR="0">
            <wp:extent cx="607060" cy="750570"/>
            <wp:effectExtent l="19050" t="0" r="2540" b="0"/>
            <wp:docPr id="2" name="Рисунок 2" descr="C:\Users\duma05\AppData\Local\Temp\ksohtml1376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duma05\AppData\Local\Temp\ksohtml1376\wp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43" w:rsidRDefault="00424369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7F6243" w:rsidRDefault="00424369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7F6243" w:rsidRDefault="00424369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6243" w:rsidRDefault="00424369">
      <w:pPr>
        <w:pStyle w:val="1"/>
        <w:spacing w:line="360" w:lineRule="auto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ГОРОДСКАЯ ДУМА</w:t>
      </w:r>
    </w:p>
    <w:p w:rsidR="007F6243" w:rsidRDefault="00424369">
      <w:pPr>
        <w:pStyle w:val="1"/>
        <w:spacing w:line="360" w:lineRule="auto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РЕШЕНИЕ</w:t>
      </w:r>
    </w:p>
    <w:p w:rsidR="007F6243" w:rsidRPr="00424369" w:rsidRDefault="00424369">
      <w:pPr>
        <w:tabs>
          <w:tab w:val="left" w:pos="0"/>
          <w:tab w:val="left" w:pos="4449"/>
        </w:tabs>
        <w:jc w:val="both"/>
        <w:rPr>
          <w:sz w:val="28"/>
          <w:szCs w:val="28"/>
        </w:rPr>
      </w:pPr>
      <w:r w:rsidRPr="00424369">
        <w:rPr>
          <w:sz w:val="28"/>
          <w:szCs w:val="28"/>
        </w:rPr>
        <w:t>27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03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42436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№ </w:t>
      </w:r>
      <w:r w:rsidRPr="00424369">
        <w:rPr>
          <w:sz w:val="28"/>
          <w:szCs w:val="28"/>
        </w:rPr>
        <w:t>87</w:t>
      </w:r>
    </w:p>
    <w:p w:rsidR="007F6243" w:rsidRDefault="00424369">
      <w:pPr>
        <w:tabs>
          <w:tab w:val="left" w:pos="0"/>
          <w:tab w:val="left" w:pos="444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7F6243" w:rsidRDefault="00424369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F6243" w:rsidRDefault="0042436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оплате труда аудитора контрольно-счетной палаты муниципального образования «Город Биробиджан» Еврейской автономной области     </w:t>
      </w:r>
    </w:p>
    <w:p w:rsidR="007F6243" w:rsidRDefault="007F624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6243" w:rsidRDefault="0042436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9" w:history="1">
        <w:r>
          <w:rPr>
            <w:rStyle w:val="15"/>
            <w:color w:val="auto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</w:t>
      </w:r>
      <w:r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7F6243" w:rsidRDefault="0042436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7F6243" w:rsidRDefault="00424369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аудитору контрольно-счетной палаты </w:t>
      </w:r>
      <w:r>
        <w:rPr>
          <w:sz w:val="28"/>
          <w:szCs w:val="28"/>
        </w:rPr>
        <w:t>муниципального образования «Город Биробиджан» Еврейской автономной области (далее - контрольно-счетная палата) следующую систему оплаты труда:</w:t>
      </w:r>
    </w:p>
    <w:p w:rsidR="007F6243" w:rsidRDefault="004243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Денежное вознаграждение, которое определяется как произведение размера должностного оклада по должности муни</w:t>
      </w:r>
      <w:r>
        <w:rPr>
          <w:sz w:val="28"/>
          <w:szCs w:val="28"/>
        </w:rPr>
        <w:t>ципальной службы муниципального образования «Город Биробиджан» Еврейской автономной области «специалист 1 разряда» и коэффициента денежного вознаграждения в размере 3,100.</w:t>
      </w:r>
    </w:p>
    <w:p w:rsidR="007F6243" w:rsidRDefault="00424369">
      <w:pPr>
        <w:ind w:firstLine="567"/>
        <w:jc w:val="both"/>
        <w:rPr>
          <w:sz w:val="28"/>
          <w:szCs w:val="28"/>
        </w:rPr>
      </w:pPr>
      <w:bookmarkStart w:id="1" w:name="sub_12"/>
      <w:bookmarkEnd w:id="1"/>
      <w:r>
        <w:rPr>
          <w:sz w:val="28"/>
          <w:szCs w:val="28"/>
        </w:rPr>
        <w:t xml:space="preserve">На денежное вознаграждение начисляются </w:t>
      </w:r>
      <w:hyperlink r:id="rId10" w:history="1">
        <w:r>
          <w:rPr>
            <w:rStyle w:val="15"/>
            <w:color w:val="auto"/>
            <w:sz w:val="28"/>
            <w:szCs w:val="28"/>
          </w:rPr>
          <w:t>районный коэффициент</w:t>
        </w:r>
      </w:hyperlink>
      <w:r>
        <w:rPr>
          <w:sz w:val="28"/>
          <w:szCs w:val="28"/>
        </w:rPr>
        <w:t xml:space="preserve"> и </w:t>
      </w:r>
      <w:hyperlink r:id="rId11" w:history="1">
        <w:r>
          <w:rPr>
            <w:rStyle w:val="15"/>
            <w:color w:val="auto"/>
            <w:sz w:val="28"/>
            <w:szCs w:val="28"/>
          </w:rPr>
          <w:t>процентная надбавка</w:t>
        </w:r>
      </w:hyperlink>
      <w:r>
        <w:rPr>
          <w:sz w:val="28"/>
          <w:szCs w:val="28"/>
        </w:rPr>
        <w:t xml:space="preserve"> за стаж работы в южных районах Дальнего Востока.</w:t>
      </w:r>
    </w:p>
    <w:p w:rsidR="007F6243" w:rsidRDefault="004243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Ежемесячное денежное поощрение (коэффициент к денежном</w:t>
      </w:r>
      <w:r>
        <w:rPr>
          <w:sz w:val="28"/>
          <w:szCs w:val="28"/>
        </w:rPr>
        <w:t>у вознаграждению) в размере 0,5 с учетом районного коэффициента и процентной надбавки за стаж работы в южных районах Дальнего Востока.</w:t>
      </w:r>
    </w:p>
    <w:p w:rsidR="007F6243" w:rsidRDefault="004243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Аудитору контрольно-счётной палаты, допущенному к государственной тайне на постоянной основе, устанавливается ежемес</w:t>
      </w:r>
      <w:r>
        <w:rPr>
          <w:sz w:val="28"/>
          <w:szCs w:val="28"/>
        </w:rPr>
        <w:t>ячная надбавка за работу со сведениями, составляющими государственную тайну, с учетом районного коэффициента и процентной надбавки за стаж работы в южных районах Дальнего Востока.</w:t>
      </w:r>
    </w:p>
    <w:p w:rsidR="007F6243" w:rsidRDefault="004243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процентной надбавки за работу со сведениями, составляющими </w:t>
      </w:r>
      <w:r>
        <w:rPr>
          <w:sz w:val="28"/>
          <w:szCs w:val="28"/>
        </w:rPr>
        <w:t>государственную тайну, определяется в соответствии с федеральным законодательством.</w:t>
      </w:r>
    </w:p>
    <w:p w:rsidR="007F6243" w:rsidRDefault="00424369">
      <w:pPr>
        <w:ind w:firstLine="567"/>
        <w:jc w:val="both"/>
        <w:rPr>
          <w:sz w:val="28"/>
          <w:szCs w:val="28"/>
        </w:rPr>
      </w:pPr>
      <w:bookmarkStart w:id="2" w:name="sub_14"/>
      <w:bookmarkEnd w:id="2"/>
      <w:r>
        <w:rPr>
          <w:sz w:val="28"/>
          <w:szCs w:val="28"/>
        </w:rPr>
        <w:t xml:space="preserve">1.4. Аудитору контрольно-счетной палаты выплачивается материальная помощь один раз в год с учетом </w:t>
      </w:r>
      <w:hyperlink r:id="rId12" w:history="1">
        <w:r>
          <w:rPr>
            <w:rStyle w:val="15"/>
            <w:color w:val="auto"/>
            <w:sz w:val="28"/>
            <w:szCs w:val="28"/>
          </w:rPr>
          <w:t>районного коэффициента</w:t>
        </w:r>
      </w:hyperlink>
      <w:r>
        <w:rPr>
          <w:sz w:val="28"/>
          <w:szCs w:val="28"/>
        </w:rPr>
        <w:t xml:space="preserve"> и процентной надбавки за стаж работы в южных районах Дальнего Востока в размере 1,5 </w:t>
      </w:r>
      <w:r>
        <w:rPr>
          <w:sz w:val="28"/>
          <w:szCs w:val="28"/>
        </w:rPr>
        <w:lastRenderedPageBreak/>
        <w:t xml:space="preserve">денежного вознаграждения соответственно, предусмотренного абзацем первым </w:t>
      </w:r>
      <w:hyperlink r:id="rId13" w:anchor="sub_11" w:history="1">
        <w:r>
          <w:rPr>
            <w:rStyle w:val="15"/>
            <w:color w:val="auto"/>
            <w:sz w:val="28"/>
            <w:szCs w:val="28"/>
          </w:rPr>
          <w:t>подпункта 1.1. пункта 1</w:t>
        </w:r>
      </w:hyperlink>
      <w:r>
        <w:rPr>
          <w:sz w:val="28"/>
          <w:szCs w:val="28"/>
        </w:rPr>
        <w:t xml:space="preserve"> настоящего решения.</w:t>
      </w:r>
    </w:p>
    <w:p w:rsidR="007F6243" w:rsidRDefault="004243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помощь предоставляется, как правило, при уходе в очередной оплачиваемый отпуск.</w:t>
      </w:r>
    </w:p>
    <w:p w:rsidR="007F6243" w:rsidRDefault="004243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Вновь назначенному аудитору контрольно-счетной палаты, а также </w:t>
      </w:r>
      <w:r>
        <w:rPr>
          <w:sz w:val="28"/>
          <w:szCs w:val="28"/>
        </w:rPr>
        <w:t>освобожденному от замещения должности аудитору контрольно-счетной палаты в течение календарного года, материальная помощь выплачивается пропорционально отработанному времени.</w:t>
      </w:r>
    </w:p>
    <w:p w:rsidR="007F6243" w:rsidRDefault="004243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Аудитору контрольно-счетной палаты выплачивается единовременное денежное воз</w:t>
      </w:r>
      <w:r>
        <w:rPr>
          <w:sz w:val="28"/>
          <w:szCs w:val="28"/>
        </w:rPr>
        <w:t xml:space="preserve">награждение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юбилейными датами начиная с пятидесяти лет со дня рождения и через каждые пять лет в размере 0,3 денежного вознаграждения без начисления районного коэффициента и процентной надбавки за стаж работы в южных районах Дальнего Востока.</w:t>
      </w:r>
    </w:p>
    <w:p w:rsidR="007F6243" w:rsidRDefault="004243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</w:rPr>
        <w:t>. Аудитор контрольно-счетной палаты может быть премирован по итогам работы в соответствии с порядком, определенным председателем контрольно-счетной палаты, в пределах фонда оплаты труда.</w:t>
      </w:r>
    </w:p>
    <w:p w:rsidR="007F6243" w:rsidRDefault="00424369">
      <w:pPr>
        <w:ind w:firstLine="567"/>
        <w:jc w:val="both"/>
        <w:rPr>
          <w:sz w:val="28"/>
          <w:szCs w:val="28"/>
        </w:rPr>
      </w:pPr>
      <w:bookmarkStart w:id="3" w:name="sub_15"/>
      <w:bookmarkEnd w:id="3"/>
      <w:r>
        <w:rPr>
          <w:sz w:val="28"/>
          <w:szCs w:val="28"/>
        </w:rPr>
        <w:t xml:space="preserve">1.7. Иные выплаты, предусмотренные </w:t>
      </w:r>
      <w:hyperlink r:id="rId14" w:history="1">
        <w:r>
          <w:rPr>
            <w:rStyle w:val="15"/>
            <w:color w:val="auto"/>
            <w:sz w:val="28"/>
            <w:szCs w:val="28"/>
          </w:rPr>
          <w:t>трудовым законодательством</w:t>
        </w:r>
      </w:hyperlink>
      <w:r>
        <w:rPr>
          <w:sz w:val="28"/>
          <w:szCs w:val="28"/>
        </w:rPr>
        <w:t xml:space="preserve"> Российской Федерации и решениями городской Думы.</w:t>
      </w:r>
    </w:p>
    <w:p w:rsidR="007F6243" w:rsidRDefault="00424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Индексация денежного вознаграждения аудитора контрольно-счетной палаты осуществляется решением городской Думы при увеличении денежн</w:t>
      </w:r>
      <w:r>
        <w:rPr>
          <w:rFonts w:ascii="Times New Roman" w:hAnsi="Times New Roman" w:cs="Times New Roman"/>
          <w:sz w:val="28"/>
          <w:szCs w:val="28"/>
        </w:rPr>
        <w:t>ого содержания муниципальных служащих органов местного самоуправления муниципального образования «Город Биробиджан» Еврейской автономной области на коэффициент индексации по должности «специалист 1 разряда».</w:t>
      </w:r>
    </w:p>
    <w:p w:rsidR="007F6243" w:rsidRDefault="0042436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При формировании фонда оплаты труда аудитор</w:t>
      </w:r>
      <w:r>
        <w:rPr>
          <w:sz w:val="28"/>
          <w:szCs w:val="28"/>
        </w:rPr>
        <w:t>а контрольно-счетной палаты сверх сумм денежного вознаграждения предусматриваются средства на выплату материальной помощи, ежемесячного денежного поощрения и ежемесячной надбавки за работу со сведениями, составляющими государственную тайну, с учётом районн</w:t>
      </w:r>
      <w:r>
        <w:rPr>
          <w:sz w:val="28"/>
          <w:szCs w:val="28"/>
        </w:rPr>
        <w:t>ого коэффициента и процентной надбавки за стаж работы в южных районах Дальнего Востока в расчёте на год.</w:t>
      </w:r>
    </w:p>
    <w:p w:rsidR="007F6243" w:rsidRDefault="00424369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на постоянную </w:t>
      </w:r>
      <w:r>
        <w:rPr>
          <w:rFonts w:ascii="Times New Roman" w:hAnsi="Times New Roman" w:cs="Times New Roman"/>
          <w:sz w:val="28"/>
          <w:szCs w:val="28"/>
        </w:rPr>
        <w:t xml:space="preserve">комиссию </w:t>
      </w:r>
      <w:r>
        <w:rPr>
          <w:rFonts w:ascii="Times New Roman" w:hAnsi="Times New Roman" w:cs="Times New Roman"/>
          <w:sz w:val="28"/>
          <w:szCs w:val="28"/>
        </w:rPr>
        <w:t xml:space="preserve">городской  Думы </w:t>
      </w:r>
      <w:r>
        <w:rPr>
          <w:rFonts w:ascii="Times New Roman" w:hAnsi="Times New Roman" w:cs="Times New Roman"/>
          <w:sz w:val="28"/>
          <w:szCs w:val="28"/>
        </w:rPr>
        <w:t>по бюджету и муниципальному имуществу.</w:t>
      </w:r>
    </w:p>
    <w:p w:rsidR="007F6243" w:rsidRDefault="00424369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</w:t>
      </w:r>
      <w:r>
        <w:rPr>
          <w:rFonts w:ascii="Times New Roman" w:hAnsi="Times New Roman" w:cs="Times New Roman"/>
          <w:sz w:val="28"/>
          <w:szCs w:val="28"/>
        </w:rPr>
        <w:t xml:space="preserve"> решение вступает в силу после его официального опубликования.</w:t>
      </w:r>
    </w:p>
    <w:p w:rsidR="007F6243" w:rsidRDefault="00424369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сетевом издании «ЭСМИГ».</w:t>
      </w:r>
    </w:p>
    <w:p w:rsidR="007F6243" w:rsidRDefault="004243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6243" w:rsidRDefault="007F6243">
      <w:pPr>
        <w:ind w:firstLine="709"/>
        <w:jc w:val="both"/>
        <w:rPr>
          <w:sz w:val="28"/>
          <w:szCs w:val="28"/>
        </w:rPr>
      </w:pPr>
    </w:p>
    <w:p w:rsidR="007F6243" w:rsidRDefault="007F6243">
      <w:pPr>
        <w:ind w:firstLine="709"/>
        <w:jc w:val="both"/>
        <w:rPr>
          <w:sz w:val="28"/>
          <w:szCs w:val="28"/>
        </w:rPr>
      </w:pPr>
    </w:p>
    <w:p w:rsidR="007F6243" w:rsidRDefault="0042436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7F6243" w:rsidRDefault="0042436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243" w:rsidRDefault="007F624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243" w:rsidRDefault="0042436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М.А. Семёнов</w:t>
      </w:r>
    </w:p>
    <w:sectPr w:rsidR="007F6243" w:rsidSect="007F6243">
      <w:headerReference w:type="default" r:id="rId15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243" w:rsidRDefault="00424369">
      <w:r>
        <w:separator/>
      </w:r>
    </w:p>
  </w:endnote>
  <w:endnote w:type="continuationSeparator" w:id="0">
    <w:p w:rsidR="007F6243" w:rsidRDefault="00424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243" w:rsidRDefault="00424369">
      <w:r>
        <w:separator/>
      </w:r>
    </w:p>
  </w:footnote>
  <w:footnote w:type="continuationSeparator" w:id="0">
    <w:p w:rsidR="007F6243" w:rsidRDefault="00424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1657"/>
    </w:sdtPr>
    <w:sdtContent>
      <w:p w:rsidR="007F6243" w:rsidRDefault="007F6243">
        <w:pPr>
          <w:pStyle w:val="a5"/>
          <w:jc w:val="center"/>
        </w:pPr>
        <w:r>
          <w:fldChar w:fldCharType="begin"/>
        </w:r>
        <w:r w:rsidR="00424369">
          <w:instrText xml:space="preserve"> PAGE   \* MERGEFORMAT </w:instrText>
        </w:r>
        <w:r>
          <w:fldChar w:fldCharType="separate"/>
        </w:r>
        <w:r w:rsidR="00424369">
          <w:rPr>
            <w:noProof/>
          </w:rPr>
          <w:t>2</w:t>
        </w:r>
        <w:r>
          <w:fldChar w:fldCharType="end"/>
        </w:r>
      </w:p>
    </w:sdtContent>
  </w:sdt>
  <w:p w:rsidR="007F6243" w:rsidRDefault="007F62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27FA3"/>
    <w:multiLevelType w:val="multilevel"/>
    <w:tmpl w:val="76A27FA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7B7"/>
    <w:rsid w:val="00424369"/>
    <w:rsid w:val="004C69E8"/>
    <w:rsid w:val="00591C2C"/>
    <w:rsid w:val="00621D6D"/>
    <w:rsid w:val="006477B7"/>
    <w:rsid w:val="007F6243"/>
    <w:rsid w:val="00966AFB"/>
    <w:rsid w:val="00B95162"/>
    <w:rsid w:val="30FD1EA7"/>
    <w:rsid w:val="3C3409BA"/>
    <w:rsid w:val="4CD0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4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624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F62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7F6243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uiPriority w:val="99"/>
    <w:qFormat/>
    <w:rsid w:val="007F6243"/>
    <w:pPr>
      <w:jc w:val="center"/>
    </w:pPr>
  </w:style>
  <w:style w:type="paragraph" w:styleId="a9">
    <w:name w:val="footer"/>
    <w:basedOn w:val="a"/>
    <w:link w:val="aa"/>
    <w:uiPriority w:val="99"/>
    <w:semiHidden/>
    <w:unhideWhenUsed/>
    <w:qFormat/>
    <w:rsid w:val="007F624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9"/>
    <w:rsid w:val="007F62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qFormat/>
    <w:rsid w:val="007F6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qFormat/>
    <w:rsid w:val="007F62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basedOn w:val="a"/>
    <w:rsid w:val="007F62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5">
    <w:name w:val="15"/>
    <w:basedOn w:val="a0"/>
    <w:rsid w:val="007F6243"/>
    <w:rPr>
      <w:rFonts w:ascii="Times New Roman" w:hAnsi="Times New Roman" w:cs="Times New Roman" w:hint="default"/>
      <w:color w:val="106BB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F62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7F6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sid w:val="007F62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U:\&#1043;&#1086;&#1088;&#1086;&#1076;&#1089;&#1082;&#1072;&#1103;%20&#1076;&#1091;&#1084;&#1072;\&#1041;&#1091;&#1088;&#1099;&#1085;&#1076;&#1080;&#1085;%20&#1057;.&#1053;\&#1050;&#1057;&#1055;\&#1050;&#1057;&#1055;\&#1044;&#1077;&#1085;.%20&#1089;&#1086;&#1076;&#1077;&#1088;&#1078;.%20&#1072;&#1091;&#1076;&#1080;&#1090;&#1086;&#1088;_&#1089;%20&#1045;&#1044;&#1055;+7000&#1050;&#1057;&#1055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08125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25268/3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10812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6367/0" TargetMode="External"/><Relationship Id="rId14" Type="http://schemas.openxmlformats.org/officeDocument/2006/relationships/hyperlink" Target="http://mobileonline.garant.ru/document/redirect/12125268/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CCE11-76C5-448B-94EC-37ECDFAE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duma02</cp:lastModifiedBy>
  <cp:revision>3</cp:revision>
  <cp:lastPrinted>2025-03-27T06:57:00Z</cp:lastPrinted>
  <dcterms:created xsi:type="dcterms:W3CDTF">2025-03-18T23:28:00Z</dcterms:created>
  <dcterms:modified xsi:type="dcterms:W3CDTF">2025-03-27T06:58:00Z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9FC48333ABFC42469CE647A08F6218D5_12</vt:lpwstr>
  </property>
</Properties>
</file>